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企业（产品）品牌——展览企业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三、有形要素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（一）市场排名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请提供企业在本行业中的排名情况，可参考权威机构排名，或提供其他第三方佐证材料</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（二）市场规模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根据本企业服务类型选择下列选项中适用的一项进行填报说明（需提供数据支撑或佐证材料）：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近三年承办展览会的数量增长情况（主承办企业）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□近三年展览会及观众数量增长情况（展馆企业）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□近三年合作参展商数量增长情况（服务企业）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（三）市场美誉度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请提供企业获得的荣誉、认证情况，如获得国际展览业协会(UFI)等权威机构认证的展会数量、获得商务部批准或重点支持的展会数量、获得高新技术企业认证情况</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（三）盈利能力</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7"/>
        <w:gridCol w:w="21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连续盈利时间</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净资产收益率（税后利润/平均所有者权益）</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kern w:val="2"/>
                <w:sz w:val="28"/>
                <w:szCs w:val="36"/>
                <w:vertAlign w:val="baseline"/>
                <w:lang w:val="en-US" w:eastAsia="zh-CN" w:bidi="ar-SA"/>
              </w:rPr>
            </w:pPr>
            <w:r>
              <w:rPr>
                <w:rFonts w:hint="eastAsia" w:ascii="方正仿宋_GBK" w:hAnsi="方正仿宋_GBK" w:eastAsia="方正仿宋_GBK" w:cs="方正仿宋_GBK"/>
                <w:sz w:val="28"/>
                <w:szCs w:val="36"/>
                <w:vertAlign w:val="baseline"/>
                <w:lang w:val="en-US" w:eastAsia="zh-CN"/>
              </w:rPr>
              <w:t>总资产收益率（税后利润/平均总资产）</w:t>
            </w:r>
          </w:p>
        </w:tc>
        <w:tc>
          <w:tcPr>
            <w:tcW w:w="2160"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kern w:val="2"/>
                <w:sz w:val="28"/>
                <w:szCs w:val="36"/>
                <w:vertAlign w:val="baseline"/>
                <w:lang w:val="en-US" w:eastAsia="zh-CN" w:bidi="ar-SA"/>
              </w:rPr>
            </w:pPr>
          </w:p>
        </w:tc>
        <w:tc>
          <w:tcPr>
            <w:tcW w:w="2105"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kern w:val="2"/>
                <w:sz w:val="28"/>
                <w:szCs w:val="36"/>
                <w:vertAlign w:val="baseline"/>
                <w:lang w:val="en-US" w:eastAsia="zh-CN" w:bidi="ar-SA"/>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（四）资本结构</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7"/>
        <w:gridCol w:w="21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资产负债率（平均负债总额/平均资产总额）</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（五）营运能力</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7"/>
        <w:gridCol w:w="21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9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总资产周转率（营业收入净额/平均资产总额）</w:t>
            </w:r>
          </w:p>
        </w:tc>
        <w:tc>
          <w:tcPr>
            <w:tcW w:w="21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9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流动资产周转率（主营业务收入/平均流动资产总额）</w:t>
            </w:r>
          </w:p>
        </w:tc>
        <w:tc>
          <w:tcPr>
            <w:tcW w:w="21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（六）发展能力</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2"/>
        <w:gridCol w:w="1535"/>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32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营业收入增长率（根据近三年的增长情况提供）</w:t>
            </w:r>
          </w:p>
        </w:tc>
        <w:tc>
          <w:tcPr>
            <w:tcW w:w="15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32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资本扩张率（本年股东权益增长额/年初股东权益）</w:t>
            </w:r>
          </w:p>
        </w:tc>
        <w:tc>
          <w:tcPr>
            <w:tcW w:w="15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1"/>
        <w:rPr>
          <w:rFonts w:hint="eastAsia" w:ascii="方正仿宋_GBK" w:hAnsi="方正仿宋_GBK" w:eastAsia="方正仿宋_GBK" w:cs="方正仿宋_GBK"/>
          <w:sz w:val="28"/>
          <w:szCs w:val="36"/>
        </w:rPr>
      </w:pPr>
      <w:r>
        <w:rPr>
          <w:rFonts w:hint="eastAsia" w:ascii="方正楷体_GBK" w:hAnsi="方正楷体_GBK" w:eastAsia="方正楷体_GBK" w:cs="方正楷体_GBK"/>
          <w:sz w:val="28"/>
          <w:szCs w:val="36"/>
          <w:lang w:val="en-US" w:eastAsia="zh-CN"/>
        </w:rPr>
        <w:t>（七）社会人文资源、人力资源、环保资源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请根据社会中可供自己利用的，能为企业品牌发展带来优势或经营帮助的社会人文资源、设施设备、人力资源、环保资源等投入情况进行说明</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四、无形要素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（一）专利数量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请说明拥有专利数量情况（可列表说明）。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5"/>
        <w:gridCol w:w="160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发明专利</w:t>
            </w:r>
          </w:p>
        </w:tc>
        <w:tc>
          <w:tcPr>
            <w:tcW w:w="16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r>
              <w:rPr>
                <w:rFonts w:hint="eastAsia" w:ascii="方正仿宋_GBK" w:hAnsi="方正仿宋_GBK" w:eastAsia="方正仿宋_GBK" w:cs="方正仿宋_GBK"/>
                <w:sz w:val="28"/>
                <w:szCs w:val="36"/>
                <w:lang w:val="en-US" w:eastAsia="zh-CN"/>
              </w:rPr>
              <w:t>项</w:t>
            </w:r>
            <w:r>
              <w:rPr>
                <w:rFonts w:hint="eastAsia" w:ascii="方正仿宋_GBK" w:hAnsi="方正仿宋_GBK" w:eastAsia="方正仿宋_GBK" w:cs="方正仿宋_GBK"/>
                <w:sz w:val="28"/>
                <w:szCs w:val="3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实用新型</w:t>
            </w:r>
          </w:p>
        </w:tc>
        <w:tc>
          <w:tcPr>
            <w:tcW w:w="16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外观设计</w:t>
            </w:r>
          </w:p>
        </w:tc>
        <w:tc>
          <w:tcPr>
            <w:tcW w:w="16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国际专利</w:t>
            </w:r>
          </w:p>
        </w:tc>
        <w:tc>
          <w:tcPr>
            <w:tcW w:w="16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（二）品牌历史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2"/>
        <w:gridCol w:w="1535"/>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32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企业创办时间或品牌（商标）注册时间</w:t>
            </w:r>
          </w:p>
        </w:tc>
        <w:tc>
          <w:tcPr>
            <w:tcW w:w="15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32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承办同一展览会的时间（展馆、主承办企业）</w:t>
            </w:r>
          </w:p>
        </w:tc>
        <w:tc>
          <w:tcPr>
            <w:tcW w:w="15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（三）品牌战略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请提供企业品牌战略中的下列情况说明：</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1）品牌定位、发展总体规划等制定和实施情况；</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2）品牌管理机构设置及运行情况</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3）企业在品牌建设方面的投入（与营业收入的比例，国际化战略投入，累计投入经费等）</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（四）品牌知名度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请提供企业在展览业中的知名度情况，可提供第三方调查结果或其他佐证材料</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（五）品牌忠诚度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请提供两次以上合作对象（主办方、承办方等）数量以及在所有合作方的占比情况</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（六）社会责任履行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已发布的社会责任报告，需提交最近一年的社会责任报告；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未发布的，请根据ISO26000（中文版）要求，从组织治理、人权、劳工实践、环境、公平运营、消费者、社区参与和发展七个方面提供1500字以内的企业履行社会责任材料。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（一）产品质量水平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请说明服务提供过程中涉及产品的实物质量水平，可通过明示标准来进行说明，字数不超过500字，并提供相关证明材料。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（二）质量合格评定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请提供企业或其产品（服务）在环保、安全等方面质量认证情况，字数不超过500字，并提供相关证明材料。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（三）质量管理体系建设及运行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请对企业质量管理体系建设以及运行情况进行简要说明，字数不超过500字，并提供相关证明材料。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（四）先进质量管理方法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请对企业管理过程中采用卓越绩效、全面质量管理等先进管理方法情况进行简要说明，字数不超过500字，并提供相关证明材料。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（一）服务体系建设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请对相关服务制度和措施，如应急管理措施、售后服务制度、服务改进制度等进行简要说明，字数不超过500字，并提供相关证明材料。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（二）服务设施</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请对企业所配备的相关服务设施设备以及运行情况进行简要说明，字数不超过500字，并提供相关证明材料。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请对服务人员的专业资质、技能水平、职业道德情况进行简要说明，字数不超过500字，并提供相关证明材料。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（四）服务界面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请对服务人员的态度、仪容仪表、服务记纪律情况进行简要说明，字数不超过500字，并提供相关证明材料。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（五）服务满意度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请提供顾客对于服务过程和服务结果的评价，包括但不限于第三方满意度调查报告或其他证实材料，字数不超过500字，并提供相关证明材料。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（六）服务改进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请提供根据顾客评价对服务开展进行改进的情况，包括改进制度、改进效果评价等，字数不超过500字，并提供相关证明材料。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七、</w:t>
      </w:r>
      <w:r>
        <w:rPr>
          <w:rFonts w:hint="eastAsia" w:ascii="黑体" w:hAnsi="黑体" w:eastAsia="黑体" w:cs="黑体"/>
          <w:sz w:val="28"/>
          <w:szCs w:val="36"/>
          <w:lang w:val="en-US" w:eastAsia="zh-CN"/>
        </w:rPr>
        <w:t>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（一）创新战略管理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请从创新目标制定、战略定位、创新组织结构、市场态势的应对策略等方面简要说明企业创新战略管理情况</w:t>
      </w:r>
      <w:r>
        <w:rPr>
          <w:rFonts w:hint="eastAsia" w:ascii="方正仿宋_GBK" w:hAnsi="方正仿宋_GBK" w:eastAsia="方正仿宋_GBK" w:cs="方正仿宋_GBK"/>
          <w:sz w:val="28"/>
          <w:szCs w:val="36"/>
          <w:lang w:val="en-US" w:eastAsia="zh-CN"/>
        </w:rPr>
        <w:t>，</w:t>
      </w:r>
      <w:r>
        <w:rPr>
          <w:rFonts w:hint="default" w:ascii="方正仿宋_GBK" w:hAnsi="方正仿宋_GBK" w:eastAsia="方正仿宋_GBK" w:cs="方正仿宋_GBK"/>
          <w:sz w:val="28"/>
          <w:szCs w:val="36"/>
          <w:lang w:val="en-US" w:eastAsia="zh-CN"/>
        </w:rPr>
        <w:t>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（二）创新机制管理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请从创新激励机制、运行管理机制、绩效考核机制、创新风险管控机制等方面简要说明企业创新机制管理情况，字数不超过500字，并提供相关证明材料。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（三）创新投入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研发经费投入占比为：________。</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*计算口径：近三年研发经费总额与同期销售收入总额之比。</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（四）项目管理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请对企业创新项目管理体系成熟程度进行简要说明，字数不超过500字，并提供相关证明材料。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（五）标准制定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请对企业参与起草国际标准、国家标准/行业标准、地方标准情况进行说明，字数不超过500字，并提供相关证明材料。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（六）市场研究能力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请对企业市场研究机制、投入、方法以及市场需求反映速度等方面研究能力和效果进行简要说明，字数不超过500字，并提供相关证明材料。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（七）市场拓展能力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请对企业市场营销、市场拓展等方面的能力进行简要说明，字数不超过500字，并提供相关证明材料。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（八）创新成效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请提供企业近五年在创新方面获得奖励、荣誉情况，字数不超过500字，并提供相关证明材料。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57FE6B-92AB-484F-9CC8-B836712E335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724FB9F-E2A4-4C82-A5D4-C7E41F0CB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95021A3E-016F-41CD-8AA0-E597BCC80EBF}"/>
  </w:font>
  <w:font w:name="方正仿宋_GBK">
    <w:panose1 w:val="02000000000000000000"/>
    <w:charset w:val="86"/>
    <w:family w:val="auto"/>
    <w:pitch w:val="default"/>
    <w:sig w:usb0="A00002BF" w:usb1="38CF7CFA" w:usb2="00082016" w:usb3="00000000" w:csb0="00040001" w:csb1="00000000"/>
    <w:embedRegular r:id="rId4" w:fontKey="{51ED6E4B-D9D4-4E3F-A6A8-DCB086238E60}"/>
  </w:font>
  <w:font w:name="方正楷体_GBK">
    <w:panose1 w:val="02000000000000000000"/>
    <w:charset w:val="86"/>
    <w:family w:val="auto"/>
    <w:pitch w:val="default"/>
    <w:sig w:usb0="800002BF" w:usb1="38CF7CFA" w:usb2="00000016" w:usb3="00000000" w:csb0="00040000" w:csb1="00000000"/>
    <w:embedRegular r:id="rId5" w:fontKey="{BB4CFA50-8D9B-48EF-A550-46B46D6B2D4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91A3B11"/>
    <w:rsid w:val="0B3D228C"/>
    <w:rsid w:val="0F290C5F"/>
    <w:rsid w:val="101F2077"/>
    <w:rsid w:val="150B6FE7"/>
    <w:rsid w:val="18292773"/>
    <w:rsid w:val="1BE24120"/>
    <w:rsid w:val="24493596"/>
    <w:rsid w:val="24635073"/>
    <w:rsid w:val="29954099"/>
    <w:rsid w:val="2AE82B3A"/>
    <w:rsid w:val="2B3D5461"/>
    <w:rsid w:val="30B8125D"/>
    <w:rsid w:val="3ADD0FB0"/>
    <w:rsid w:val="3DCC25AD"/>
    <w:rsid w:val="3E2E356B"/>
    <w:rsid w:val="43147354"/>
    <w:rsid w:val="44B33DBE"/>
    <w:rsid w:val="4A6A5329"/>
    <w:rsid w:val="5E114594"/>
    <w:rsid w:val="635A179F"/>
    <w:rsid w:val="652579F7"/>
    <w:rsid w:val="65F77490"/>
    <w:rsid w:val="683F1CDF"/>
    <w:rsid w:val="6B261B6A"/>
    <w:rsid w:val="6CF519A0"/>
    <w:rsid w:val="6D621F48"/>
    <w:rsid w:val="71B7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